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B982" w14:textId="77777777" w:rsidR="00AF16C0" w:rsidRPr="00285D92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1.</w:t>
      </w:r>
      <w:r w:rsidRPr="00E5019F">
        <w:rPr>
          <w:b/>
          <w:sz w:val="22"/>
          <w:szCs w:val="22"/>
        </w:rPr>
        <w:tab/>
      </w:r>
      <w:r w:rsidRPr="00285D92">
        <w:rPr>
          <w:b/>
          <w:sz w:val="22"/>
          <w:szCs w:val="22"/>
        </w:rPr>
        <w:t>Purpose</w:t>
      </w:r>
    </w:p>
    <w:p w14:paraId="40EDA9D6" w14:textId="77777777" w:rsidR="00D25E13" w:rsidRPr="00285D92" w:rsidRDefault="0022394B" w:rsidP="00D25E13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285D92">
        <w:rPr>
          <w:sz w:val="22"/>
          <w:szCs w:val="22"/>
        </w:rPr>
        <w:t xml:space="preserve">To define the </w:t>
      </w:r>
      <w:r w:rsidRPr="00285D92">
        <w:rPr>
          <w:color w:val="000000"/>
          <w:sz w:val="22"/>
        </w:rPr>
        <w:t xml:space="preserve">process </w:t>
      </w:r>
      <w:proofErr w:type="gramStart"/>
      <w:r w:rsidRPr="00285D92">
        <w:rPr>
          <w:color w:val="000000"/>
          <w:sz w:val="22"/>
        </w:rPr>
        <w:t>used</w:t>
      </w:r>
      <w:proofErr w:type="gramEnd"/>
      <w:r w:rsidRPr="00285D92">
        <w:rPr>
          <w:color w:val="000000"/>
          <w:sz w:val="22"/>
        </w:rPr>
        <w:t xml:space="preserve"> to eliminate the cause of nonconformities and prevent their recurrence</w:t>
      </w:r>
      <w:r w:rsidRPr="00285D92">
        <w:rPr>
          <w:sz w:val="22"/>
          <w:szCs w:val="22"/>
        </w:rPr>
        <w:t>.</w:t>
      </w:r>
    </w:p>
    <w:p w14:paraId="78994903" w14:textId="77777777" w:rsidR="00AF16C0" w:rsidRPr="00285D92" w:rsidRDefault="00AF16C0" w:rsidP="00D25E13">
      <w:pPr>
        <w:tabs>
          <w:tab w:val="left" w:pos="2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 w:hanging="274"/>
        <w:rPr>
          <w:sz w:val="22"/>
          <w:szCs w:val="22"/>
        </w:rPr>
      </w:pPr>
      <w:r w:rsidRPr="00285D92">
        <w:rPr>
          <w:b/>
          <w:sz w:val="22"/>
          <w:szCs w:val="22"/>
        </w:rPr>
        <w:t>2</w:t>
      </w:r>
      <w:proofErr w:type="gramStart"/>
      <w:r w:rsidRPr="00285D92">
        <w:rPr>
          <w:b/>
          <w:sz w:val="22"/>
          <w:szCs w:val="22"/>
        </w:rPr>
        <w:t xml:space="preserve">. </w:t>
      </w:r>
      <w:r w:rsidR="00D25E13" w:rsidRPr="00285D92">
        <w:rPr>
          <w:b/>
          <w:sz w:val="22"/>
          <w:szCs w:val="22"/>
        </w:rPr>
        <w:tab/>
      </w:r>
      <w:r w:rsidRPr="00285D92">
        <w:rPr>
          <w:b/>
          <w:sz w:val="22"/>
          <w:szCs w:val="22"/>
        </w:rPr>
        <w:t>Scope</w:t>
      </w:r>
      <w:proofErr w:type="gramEnd"/>
    </w:p>
    <w:p w14:paraId="2B92E2DD" w14:textId="69477C33" w:rsidR="000403A5" w:rsidRPr="00285D92" w:rsidRDefault="00AF16C0" w:rsidP="00493A6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FF0000"/>
          <w:sz w:val="22"/>
        </w:rPr>
      </w:pPr>
      <w:r w:rsidRPr="00285D92">
        <w:rPr>
          <w:sz w:val="22"/>
          <w:szCs w:val="22"/>
        </w:rPr>
        <w:t xml:space="preserve">This procedure pertains to </w:t>
      </w:r>
      <w:r w:rsidR="007E798A" w:rsidRPr="00285D92">
        <w:rPr>
          <w:sz w:val="22"/>
          <w:szCs w:val="22"/>
        </w:rPr>
        <w:t xml:space="preserve">the entire </w:t>
      </w:r>
      <w:r w:rsidR="00643CB2" w:rsidRPr="00285D92">
        <w:rPr>
          <w:color w:val="000000"/>
          <w:sz w:val="22"/>
          <w:szCs w:val="22"/>
        </w:rPr>
        <w:t xml:space="preserve">METRO PLASTICS TECHNOLOGIES, </w:t>
      </w:r>
      <w:r w:rsidR="00227B63">
        <w:rPr>
          <w:color w:val="000000"/>
          <w:sz w:val="22"/>
          <w:szCs w:val="22"/>
        </w:rPr>
        <w:t>LLC.</w:t>
      </w:r>
      <w:r w:rsidR="00A57833" w:rsidRPr="00285D92">
        <w:rPr>
          <w:color w:val="000000"/>
          <w:sz w:val="22"/>
          <w:szCs w:val="22"/>
        </w:rPr>
        <w:t xml:space="preserve"> </w:t>
      </w:r>
      <w:r w:rsidR="007E798A" w:rsidRPr="00285D92">
        <w:rPr>
          <w:sz w:val="22"/>
          <w:szCs w:val="22"/>
        </w:rPr>
        <w:t>Quality Management System (QMS)</w:t>
      </w:r>
    </w:p>
    <w:p w14:paraId="3D160BFB" w14:textId="77777777" w:rsidR="00AF16C0" w:rsidRPr="00285D92" w:rsidRDefault="00AF16C0" w:rsidP="00493A6E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285D92">
        <w:rPr>
          <w:b/>
          <w:sz w:val="22"/>
          <w:szCs w:val="22"/>
        </w:rPr>
        <w:t xml:space="preserve">3. </w:t>
      </w:r>
      <w:r w:rsidR="001760A4" w:rsidRPr="00285D92">
        <w:rPr>
          <w:b/>
          <w:sz w:val="22"/>
          <w:szCs w:val="22"/>
        </w:rPr>
        <w:t>Responsibility</w:t>
      </w:r>
    </w:p>
    <w:p w14:paraId="11D671E8" w14:textId="0B50F56B" w:rsidR="00AF16C0" w:rsidRPr="00285D92" w:rsidRDefault="00DA2FEF" w:rsidP="00DA2FEF">
      <w:pPr>
        <w:tabs>
          <w:tab w:val="left" w:pos="270"/>
        </w:tabs>
        <w:spacing w:before="120"/>
        <w:ind w:left="270"/>
        <w:rPr>
          <w:sz w:val="22"/>
          <w:szCs w:val="22"/>
        </w:rPr>
      </w:pPr>
      <w:r w:rsidRPr="00285D92">
        <w:rPr>
          <w:color w:val="000000"/>
          <w:sz w:val="22"/>
        </w:rPr>
        <w:t xml:space="preserve">It is the responsibility of every employee to act upon the recognition of </w:t>
      </w:r>
      <w:proofErr w:type="gramStart"/>
      <w:r w:rsidRPr="00285D92">
        <w:rPr>
          <w:color w:val="000000"/>
          <w:sz w:val="22"/>
        </w:rPr>
        <w:t>a nonconformity</w:t>
      </w:r>
      <w:proofErr w:type="gramEnd"/>
      <w:r w:rsidRPr="00285D92">
        <w:rPr>
          <w:color w:val="000000"/>
          <w:sz w:val="22"/>
        </w:rPr>
        <w:t xml:space="preserve">, or a lack of documentation affecting his/her job function. Initiation of corrective actions can be from, but not limited to: Management Reviews, Internal Audits, third party audits, customer audits, customer complaints, product measurement, process measurement, or supplier nonconformities. The </w:t>
      </w:r>
      <w:r w:rsidR="00BA4567">
        <w:rPr>
          <w:color w:val="000000"/>
          <w:sz w:val="22"/>
        </w:rPr>
        <w:t>Quality Manager</w:t>
      </w:r>
      <w:r w:rsidRPr="00285D92">
        <w:rPr>
          <w:color w:val="000000"/>
          <w:sz w:val="22"/>
        </w:rPr>
        <w:t xml:space="preserve"> administers the Corrective Action process.</w:t>
      </w:r>
    </w:p>
    <w:p w14:paraId="6ADC7CF6" w14:textId="77777777" w:rsidR="00AF16C0" w:rsidRPr="00285D92" w:rsidRDefault="00AF16C0" w:rsidP="00493A6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285D92">
        <w:rPr>
          <w:b/>
          <w:sz w:val="22"/>
          <w:szCs w:val="22"/>
        </w:rPr>
        <w:t>4. Procedure</w:t>
      </w:r>
    </w:p>
    <w:p w14:paraId="27B2E59A" w14:textId="77777777" w:rsidR="00493A6E" w:rsidRPr="00285D92" w:rsidRDefault="00DA2FEF" w:rsidP="00493A6E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285D92">
        <w:rPr>
          <w:sz w:val="22"/>
          <w:szCs w:val="22"/>
        </w:rPr>
        <w:t>10</w:t>
      </w:r>
      <w:r w:rsidR="00D25E13" w:rsidRPr="00285D92">
        <w:rPr>
          <w:sz w:val="22"/>
          <w:szCs w:val="22"/>
        </w:rPr>
        <w:t>.2.1</w:t>
      </w:r>
      <w:proofErr w:type="gramStart"/>
      <w:r w:rsidR="00493A6E" w:rsidRPr="00285D92">
        <w:rPr>
          <w:sz w:val="22"/>
          <w:szCs w:val="22"/>
        </w:rPr>
        <w:t>)</w:t>
      </w:r>
      <w:r w:rsidR="00493A6E" w:rsidRPr="00285D92">
        <w:rPr>
          <w:sz w:val="22"/>
          <w:szCs w:val="22"/>
        </w:rPr>
        <w:tab/>
      </w:r>
      <w:r w:rsidR="00D25E13" w:rsidRPr="00285D92">
        <w:rPr>
          <w:sz w:val="22"/>
          <w:szCs w:val="22"/>
        </w:rPr>
        <w:t xml:space="preserve"> GENERAL</w:t>
      </w:r>
      <w:proofErr w:type="gramEnd"/>
    </w:p>
    <w:p w14:paraId="151EFEB8" w14:textId="5A1B6071" w:rsidR="00D25E13" w:rsidRPr="00285D92" w:rsidRDefault="00BE44A6" w:rsidP="00D25E13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285D92">
        <w:rPr>
          <w:sz w:val="22"/>
        </w:rPr>
        <w:t xml:space="preserve">When a nonconformity occurs, including any arising from complaints, </w:t>
      </w:r>
      <w:r w:rsidR="00643CB2" w:rsidRPr="00285D92">
        <w:rPr>
          <w:sz w:val="22"/>
        </w:rPr>
        <w:t xml:space="preserve">METRO PLASTICS TECHNOLOGIES, </w:t>
      </w:r>
      <w:r w:rsidR="00227B63">
        <w:rPr>
          <w:sz w:val="22"/>
        </w:rPr>
        <w:t>LLC</w:t>
      </w:r>
      <w:r w:rsidR="00643CB2" w:rsidRPr="00285D92">
        <w:rPr>
          <w:sz w:val="22"/>
        </w:rPr>
        <w:t>.</w:t>
      </w:r>
      <w:r w:rsidR="00D25E13" w:rsidRPr="00285D92">
        <w:rPr>
          <w:sz w:val="22"/>
        </w:rPr>
        <w:t>:</w:t>
      </w:r>
    </w:p>
    <w:p w14:paraId="611E8E0B" w14:textId="77777777" w:rsidR="00D25E13" w:rsidRPr="00285D92" w:rsidRDefault="00BE44A6" w:rsidP="00D25E13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reacts to the nonconformity and, as applicable</w:t>
      </w:r>
      <w:r w:rsidR="00D25E13" w:rsidRPr="00285D92">
        <w:rPr>
          <w:sz w:val="22"/>
          <w:szCs w:val="22"/>
        </w:rPr>
        <w:t>:</w:t>
      </w:r>
    </w:p>
    <w:p w14:paraId="6C3C147C" w14:textId="77777777" w:rsidR="00D25E13" w:rsidRPr="00285D92" w:rsidRDefault="00BE44A6" w:rsidP="00D25E13">
      <w:pPr>
        <w:pStyle w:val="BodyTextIndent"/>
        <w:numPr>
          <w:ilvl w:val="1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takes action to control and correct it</w:t>
      </w:r>
    </w:p>
    <w:p w14:paraId="57EAC6BE" w14:textId="77777777" w:rsidR="00D25E13" w:rsidRPr="00285D92" w:rsidRDefault="00BE44A6" w:rsidP="00D25E13">
      <w:pPr>
        <w:pStyle w:val="BodyTextIndent"/>
        <w:numPr>
          <w:ilvl w:val="1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deals with the consequences</w:t>
      </w:r>
    </w:p>
    <w:p w14:paraId="64D73DDD" w14:textId="77777777" w:rsidR="00F27EC4" w:rsidRPr="00285D92" w:rsidRDefault="00F27EC4" w:rsidP="00F27EC4">
      <w:pPr>
        <w:pStyle w:val="BodyTextIndent"/>
        <w:numPr>
          <w:ilvl w:val="1"/>
          <w:numId w:val="13"/>
        </w:numPr>
        <w:spacing w:before="120"/>
        <w:ind w:left="2160" w:hanging="270"/>
        <w:rPr>
          <w:sz w:val="22"/>
          <w:szCs w:val="22"/>
        </w:rPr>
      </w:pPr>
      <w:r w:rsidRPr="00285D92">
        <w:rPr>
          <w:sz w:val="22"/>
          <w:szCs w:val="22"/>
        </w:rPr>
        <w:t>For product-related nonconformities, this reaction is administered in accordance with Q</w:t>
      </w:r>
      <w:r w:rsidR="00643CB2" w:rsidRPr="00285D92">
        <w:rPr>
          <w:sz w:val="22"/>
          <w:szCs w:val="22"/>
        </w:rPr>
        <w:t>E</w:t>
      </w:r>
      <w:r w:rsidRPr="00285D92">
        <w:rPr>
          <w:sz w:val="22"/>
          <w:szCs w:val="22"/>
        </w:rPr>
        <w:t>P-8.7 "Control of Nonconforming Outputs"</w:t>
      </w:r>
    </w:p>
    <w:p w14:paraId="306D3522" w14:textId="06E57FD5" w:rsidR="00F27EC4" w:rsidRPr="00285D92" w:rsidRDefault="00F27EC4" w:rsidP="00F27EC4">
      <w:pPr>
        <w:pStyle w:val="BodyTextIndent"/>
        <w:numPr>
          <w:ilvl w:val="1"/>
          <w:numId w:val="13"/>
        </w:numPr>
        <w:tabs>
          <w:tab w:val="clear" w:pos="720"/>
        </w:tabs>
        <w:spacing w:before="120"/>
        <w:ind w:left="2160" w:hanging="270"/>
        <w:rPr>
          <w:sz w:val="22"/>
          <w:szCs w:val="22"/>
        </w:rPr>
      </w:pPr>
      <w:r w:rsidRPr="00285D92">
        <w:rPr>
          <w:sz w:val="22"/>
          <w:szCs w:val="22"/>
        </w:rPr>
        <w:t xml:space="preserve">For non-product-related nonconformities (i.e., QMS issues), this reaction is documented on </w:t>
      </w:r>
      <w:r w:rsidR="005013D5" w:rsidRPr="00285D92">
        <w:rPr>
          <w:sz w:val="22"/>
          <w:szCs w:val="22"/>
        </w:rPr>
        <w:t>IQMS Corrective Action / Preventative Action and C</w:t>
      </w:r>
      <w:r w:rsidRPr="00285D92">
        <w:rPr>
          <w:sz w:val="22"/>
          <w:szCs w:val="22"/>
        </w:rPr>
        <w:t>orrective Action Request</w:t>
      </w:r>
      <w:r w:rsidR="002276A9" w:rsidRPr="00285D92">
        <w:rPr>
          <w:sz w:val="22"/>
          <w:szCs w:val="22"/>
        </w:rPr>
        <w:t>,</w:t>
      </w:r>
      <w:r w:rsidR="009E3145" w:rsidRPr="00285D92">
        <w:rPr>
          <w:sz w:val="22"/>
          <w:szCs w:val="22"/>
        </w:rPr>
        <w:t xml:space="preserve"> when deemed appropriate </w:t>
      </w:r>
      <w:r w:rsidRPr="00285D92">
        <w:rPr>
          <w:sz w:val="22"/>
          <w:szCs w:val="22"/>
        </w:rPr>
        <w:t xml:space="preserve">by the </w:t>
      </w:r>
      <w:r w:rsidR="00643CB2" w:rsidRPr="00285D92">
        <w:rPr>
          <w:sz w:val="22"/>
          <w:szCs w:val="22"/>
        </w:rPr>
        <w:t xml:space="preserve">Quality </w:t>
      </w:r>
      <w:r w:rsidR="002276A9" w:rsidRPr="00285D92">
        <w:rPr>
          <w:sz w:val="22"/>
          <w:szCs w:val="22"/>
        </w:rPr>
        <w:t>Engineer</w:t>
      </w:r>
      <w:r w:rsidRPr="00285D92">
        <w:rPr>
          <w:sz w:val="22"/>
          <w:szCs w:val="22"/>
        </w:rPr>
        <w:t>.</w:t>
      </w:r>
    </w:p>
    <w:p w14:paraId="689C17C4" w14:textId="77777777" w:rsidR="00D25E13" w:rsidRPr="00285D92" w:rsidRDefault="00BE44A6" w:rsidP="00D25E13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evaluates the need for action to eliminate the cause(s) of the nonconformity, in order that it does not recur or occur elsewhere, by:</w:t>
      </w:r>
    </w:p>
    <w:p w14:paraId="47489FCE" w14:textId="77777777" w:rsidR="00BE44A6" w:rsidRPr="00285D92" w:rsidRDefault="00BE44A6" w:rsidP="00BE44A6">
      <w:pPr>
        <w:pStyle w:val="BodyTextIndent"/>
        <w:numPr>
          <w:ilvl w:val="1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reviewing and analyzing the nonconformity</w:t>
      </w:r>
    </w:p>
    <w:p w14:paraId="4827875D" w14:textId="77777777" w:rsidR="00BE44A6" w:rsidRPr="00285D92" w:rsidRDefault="00BE44A6" w:rsidP="00BE44A6">
      <w:pPr>
        <w:pStyle w:val="BodyTextIndent"/>
        <w:numPr>
          <w:ilvl w:val="1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determining the causes of the nonconformity</w:t>
      </w:r>
    </w:p>
    <w:p w14:paraId="2F80D959" w14:textId="77777777" w:rsidR="00BE44A6" w:rsidRPr="00285D92" w:rsidRDefault="00BE44A6" w:rsidP="00BE44A6">
      <w:pPr>
        <w:pStyle w:val="BodyTextIndent"/>
        <w:numPr>
          <w:ilvl w:val="1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determining if similar nonconformities exist, or could potentially occur</w:t>
      </w:r>
    </w:p>
    <w:p w14:paraId="7D1EE7A5" w14:textId="77777777" w:rsidR="00BE44A6" w:rsidRPr="00285D92" w:rsidRDefault="00BE44A6" w:rsidP="00BE44A6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implements any action needed</w:t>
      </w:r>
    </w:p>
    <w:p w14:paraId="25A9AD9D" w14:textId="77777777" w:rsidR="00BE44A6" w:rsidRPr="00285D92" w:rsidRDefault="00BE44A6" w:rsidP="00BE44A6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 xml:space="preserve">reviews the effectiveness </w:t>
      </w:r>
      <w:r w:rsidR="003061E3" w:rsidRPr="00285D92">
        <w:rPr>
          <w:sz w:val="22"/>
          <w:szCs w:val="22"/>
        </w:rPr>
        <w:t>of any corrective actions taken</w:t>
      </w:r>
    </w:p>
    <w:p w14:paraId="79761F7F" w14:textId="77777777" w:rsidR="003061E3" w:rsidRPr="00285D92" w:rsidRDefault="003061E3" w:rsidP="00BE44A6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 xml:space="preserve">updates risks and opportunities determined during planning, if necessary </w:t>
      </w:r>
      <w:r w:rsidR="005C683A" w:rsidRPr="00285D92">
        <w:rPr>
          <w:sz w:val="22"/>
          <w:szCs w:val="22"/>
        </w:rPr>
        <w:t>(ref. QE</w:t>
      </w:r>
      <w:r w:rsidRPr="00285D92">
        <w:rPr>
          <w:sz w:val="22"/>
          <w:szCs w:val="22"/>
        </w:rPr>
        <w:t xml:space="preserve">P-6.0) </w:t>
      </w:r>
    </w:p>
    <w:p w14:paraId="43A34592" w14:textId="77777777" w:rsidR="003061E3" w:rsidRPr="00285D92" w:rsidRDefault="003061E3" w:rsidP="00BE44A6">
      <w:pPr>
        <w:pStyle w:val="BodyTextIndent"/>
        <w:numPr>
          <w:ilvl w:val="0"/>
          <w:numId w:val="10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makes changes to the QMS, if necessary</w:t>
      </w:r>
    </w:p>
    <w:p w14:paraId="69B0C462" w14:textId="77777777" w:rsidR="003061E3" w:rsidRPr="00285D92" w:rsidRDefault="003061E3" w:rsidP="003061E3">
      <w:pPr>
        <w:pStyle w:val="BodyTextIndent"/>
        <w:tabs>
          <w:tab w:val="clear" w:pos="720"/>
        </w:tabs>
        <w:spacing w:before="120"/>
        <w:ind w:left="1080"/>
        <w:rPr>
          <w:sz w:val="22"/>
          <w:szCs w:val="22"/>
        </w:rPr>
      </w:pPr>
      <w:r w:rsidRPr="00285D92">
        <w:rPr>
          <w:sz w:val="22"/>
          <w:szCs w:val="22"/>
        </w:rPr>
        <w:t>Corrective actions are appropriate to the effects of the nonconformities encountered.</w:t>
      </w:r>
    </w:p>
    <w:p w14:paraId="3D6AD558" w14:textId="6490E1FB" w:rsidR="003061E3" w:rsidRPr="00285D92" w:rsidRDefault="00F27EC4" w:rsidP="003061E3">
      <w:pPr>
        <w:pStyle w:val="BodyTextIndent"/>
        <w:tabs>
          <w:tab w:val="clear" w:pos="720"/>
        </w:tabs>
        <w:spacing w:before="120"/>
        <w:ind w:left="1080"/>
        <w:rPr>
          <w:sz w:val="22"/>
          <w:szCs w:val="22"/>
        </w:rPr>
      </w:pPr>
      <w:r w:rsidRPr="00285D92">
        <w:rPr>
          <w:sz w:val="22"/>
          <w:szCs w:val="22"/>
        </w:rPr>
        <w:t>The activities described in (</w:t>
      </w:r>
      <w:r w:rsidR="00283CF8" w:rsidRPr="00285D92">
        <w:rPr>
          <w:sz w:val="22"/>
          <w:szCs w:val="22"/>
        </w:rPr>
        <w:t>a</w:t>
      </w:r>
      <w:r w:rsidRPr="00285D92">
        <w:rPr>
          <w:sz w:val="22"/>
          <w:szCs w:val="22"/>
        </w:rPr>
        <w:t xml:space="preserve">) through (f) above are recorded on </w:t>
      </w:r>
      <w:r w:rsidR="009A20A2" w:rsidRPr="00285D92">
        <w:rPr>
          <w:sz w:val="22"/>
          <w:szCs w:val="22"/>
        </w:rPr>
        <w:t>IQMS Corrective Action / Preventative Action and Corrective Action Request</w:t>
      </w:r>
      <w:r w:rsidR="002276A9" w:rsidRPr="00285D92">
        <w:rPr>
          <w:sz w:val="22"/>
          <w:szCs w:val="22"/>
        </w:rPr>
        <w:t xml:space="preserve">. </w:t>
      </w:r>
      <w:r w:rsidRPr="00285D92">
        <w:rPr>
          <w:sz w:val="22"/>
          <w:szCs w:val="22"/>
        </w:rPr>
        <w:t xml:space="preserve"> </w:t>
      </w:r>
      <w:r w:rsidR="009A20A2" w:rsidRPr="00285D92">
        <w:rPr>
          <w:sz w:val="22"/>
          <w:szCs w:val="22"/>
        </w:rPr>
        <w:t xml:space="preserve">IQMS Corrective Action / Preventative Action and </w:t>
      </w:r>
      <w:r w:rsidRPr="00285D92">
        <w:rPr>
          <w:sz w:val="22"/>
          <w:szCs w:val="22"/>
        </w:rPr>
        <w:t>Corrective Actio</w:t>
      </w:r>
      <w:r w:rsidR="00D740D0" w:rsidRPr="00285D92">
        <w:rPr>
          <w:sz w:val="22"/>
          <w:szCs w:val="22"/>
        </w:rPr>
        <w:t>n Requests are tracked</w:t>
      </w:r>
      <w:r w:rsidRPr="00285D92">
        <w:rPr>
          <w:sz w:val="22"/>
          <w:szCs w:val="22"/>
        </w:rPr>
        <w:t xml:space="preserve"> in the Corrective Action Database.</w:t>
      </w:r>
    </w:p>
    <w:p w14:paraId="46876078" w14:textId="77777777" w:rsidR="00D25E13" w:rsidRPr="00285D92" w:rsidRDefault="00DA2FEF" w:rsidP="00D25E13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285D92">
        <w:rPr>
          <w:sz w:val="22"/>
          <w:szCs w:val="22"/>
        </w:rPr>
        <w:t>10</w:t>
      </w:r>
      <w:r w:rsidR="00D25E13" w:rsidRPr="00285D92">
        <w:rPr>
          <w:sz w:val="22"/>
          <w:szCs w:val="22"/>
        </w:rPr>
        <w:t>.2.2</w:t>
      </w:r>
      <w:proofErr w:type="gramStart"/>
      <w:r w:rsidR="00D25E13" w:rsidRPr="00285D92">
        <w:rPr>
          <w:sz w:val="22"/>
          <w:szCs w:val="22"/>
        </w:rPr>
        <w:t>)</w:t>
      </w:r>
      <w:r w:rsidR="00D25E13" w:rsidRPr="00285D92">
        <w:rPr>
          <w:sz w:val="22"/>
          <w:szCs w:val="22"/>
        </w:rPr>
        <w:tab/>
      </w:r>
      <w:r w:rsidR="00632D68" w:rsidRPr="00285D92">
        <w:rPr>
          <w:sz w:val="22"/>
          <w:szCs w:val="22"/>
        </w:rPr>
        <w:t xml:space="preserve"> </w:t>
      </w:r>
      <w:r w:rsidR="00BE44A6" w:rsidRPr="00285D92">
        <w:rPr>
          <w:sz w:val="22"/>
          <w:szCs w:val="22"/>
        </w:rPr>
        <w:t>RETAINED</w:t>
      </w:r>
      <w:proofErr w:type="gramEnd"/>
      <w:r w:rsidR="00BE44A6" w:rsidRPr="00285D92">
        <w:rPr>
          <w:sz w:val="22"/>
          <w:szCs w:val="22"/>
        </w:rPr>
        <w:t xml:space="preserve"> DOCUMENTED INFORMATION</w:t>
      </w:r>
    </w:p>
    <w:p w14:paraId="528CAAB8" w14:textId="714593C3" w:rsidR="00BE44A6" w:rsidRPr="00285D92" w:rsidRDefault="00643CB2" w:rsidP="00BE44A6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285D92">
        <w:rPr>
          <w:sz w:val="22"/>
        </w:rPr>
        <w:lastRenderedPageBreak/>
        <w:t xml:space="preserve">METRO PLASTICS TECHNOLOGIES, </w:t>
      </w:r>
      <w:r w:rsidR="00227B63">
        <w:rPr>
          <w:sz w:val="22"/>
        </w:rPr>
        <w:t>LLC</w:t>
      </w:r>
      <w:r w:rsidRPr="00285D92">
        <w:rPr>
          <w:sz w:val="22"/>
        </w:rPr>
        <w:t>.</w:t>
      </w:r>
      <w:r w:rsidR="00BE44A6" w:rsidRPr="00285D92">
        <w:rPr>
          <w:sz w:val="22"/>
        </w:rPr>
        <w:t xml:space="preserve"> retains documented information as evidence of:</w:t>
      </w:r>
    </w:p>
    <w:p w14:paraId="797E277D" w14:textId="253A4050" w:rsidR="00BE44A6" w:rsidRPr="00285D92" w:rsidRDefault="00BE44A6" w:rsidP="00BE44A6">
      <w:pPr>
        <w:pStyle w:val="BodyTextIndent"/>
        <w:numPr>
          <w:ilvl w:val="0"/>
          <w:numId w:val="12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the nature of the nonconformities and any subsequent actions taken</w:t>
      </w:r>
      <w:r w:rsidR="00F27EC4" w:rsidRPr="00285D92">
        <w:rPr>
          <w:sz w:val="22"/>
          <w:szCs w:val="22"/>
        </w:rPr>
        <w:t xml:space="preserve"> (on the </w:t>
      </w:r>
      <w:r w:rsidR="009A20A2" w:rsidRPr="00285D92">
        <w:rPr>
          <w:sz w:val="22"/>
          <w:szCs w:val="22"/>
        </w:rPr>
        <w:t xml:space="preserve">IQMS Corrective Action / Preventative Action and </w:t>
      </w:r>
      <w:r w:rsidR="00F27EC4" w:rsidRPr="00285D92">
        <w:rPr>
          <w:sz w:val="22"/>
          <w:szCs w:val="22"/>
        </w:rPr>
        <w:t>Corrective Action Reques</w:t>
      </w:r>
      <w:r w:rsidR="00E90C6A" w:rsidRPr="00285D92">
        <w:rPr>
          <w:sz w:val="22"/>
          <w:szCs w:val="22"/>
        </w:rPr>
        <w:t xml:space="preserve">t </w:t>
      </w:r>
      <w:r w:rsidR="00F27EC4" w:rsidRPr="00285D92">
        <w:rPr>
          <w:sz w:val="22"/>
          <w:szCs w:val="22"/>
        </w:rPr>
        <w:t>or, for product-related nonconformities, in the Nonconformance Log, as appropriate)</w:t>
      </w:r>
    </w:p>
    <w:p w14:paraId="77BDCDA9" w14:textId="4601B775" w:rsidR="00BE44A6" w:rsidRPr="00285D92" w:rsidRDefault="00BE44A6" w:rsidP="00BE44A6">
      <w:pPr>
        <w:pStyle w:val="BodyTextIndent"/>
        <w:numPr>
          <w:ilvl w:val="0"/>
          <w:numId w:val="12"/>
        </w:numPr>
        <w:tabs>
          <w:tab w:val="clear" w:pos="720"/>
        </w:tabs>
        <w:spacing w:before="120"/>
        <w:rPr>
          <w:sz w:val="22"/>
          <w:szCs w:val="22"/>
        </w:rPr>
      </w:pPr>
      <w:r w:rsidRPr="00285D92">
        <w:rPr>
          <w:sz w:val="22"/>
          <w:szCs w:val="22"/>
        </w:rPr>
        <w:t>the results of any corrective action</w:t>
      </w:r>
      <w:r w:rsidR="00F27EC4" w:rsidRPr="00285D92">
        <w:rPr>
          <w:sz w:val="22"/>
          <w:szCs w:val="22"/>
        </w:rPr>
        <w:t xml:space="preserve"> on</w:t>
      </w:r>
      <w:r w:rsidR="002276A9" w:rsidRPr="00285D92">
        <w:rPr>
          <w:sz w:val="22"/>
          <w:szCs w:val="22"/>
        </w:rPr>
        <w:t xml:space="preserve"> the IQMS (CAR) </w:t>
      </w:r>
      <w:r w:rsidR="00AB17CA" w:rsidRPr="00285D92">
        <w:rPr>
          <w:sz w:val="22"/>
          <w:szCs w:val="22"/>
        </w:rPr>
        <w:t>Corrective Action Request</w:t>
      </w:r>
      <w:r w:rsidR="002276A9" w:rsidRPr="00285D92">
        <w:rPr>
          <w:sz w:val="22"/>
          <w:szCs w:val="22"/>
        </w:rPr>
        <w:t>.</w:t>
      </w:r>
    </w:p>
    <w:p w14:paraId="4787B1EC" w14:textId="77777777" w:rsidR="00661042" w:rsidRPr="00285D92" w:rsidRDefault="00661042" w:rsidP="00BE44A6">
      <w:pPr>
        <w:pStyle w:val="BodyTextIndent"/>
        <w:tabs>
          <w:tab w:val="clear" w:pos="720"/>
        </w:tabs>
        <w:spacing w:before="120"/>
        <w:ind w:left="2340"/>
        <w:rPr>
          <w:sz w:val="22"/>
        </w:rPr>
      </w:pPr>
    </w:p>
    <w:p w14:paraId="3BC1895F" w14:textId="77777777" w:rsidR="003C63DE" w:rsidRPr="00285D92" w:rsidRDefault="003C63DE" w:rsidP="001A2EC6">
      <w:pPr>
        <w:tabs>
          <w:tab w:val="left" w:pos="450"/>
          <w:tab w:val="left" w:pos="72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76" w:lineRule="auto"/>
        <w:rPr>
          <w:color w:val="000000"/>
          <w:sz w:val="22"/>
          <w:szCs w:val="22"/>
        </w:rPr>
      </w:pPr>
      <w:r w:rsidRPr="00285D92">
        <w:rPr>
          <w:b/>
          <w:color w:val="000000"/>
          <w:sz w:val="22"/>
          <w:szCs w:val="22"/>
        </w:rPr>
        <w:t>5. References</w:t>
      </w:r>
      <w:r w:rsidRPr="00285D92">
        <w:rPr>
          <w:color w:val="000000"/>
          <w:sz w:val="22"/>
          <w:szCs w:val="22"/>
        </w:rPr>
        <w:tab/>
      </w:r>
    </w:p>
    <w:p w14:paraId="0ABFC4CD" w14:textId="77777777" w:rsidR="00F27EC4" w:rsidRPr="00285D92" w:rsidRDefault="009B0C44" w:rsidP="00F27EC4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285D92">
        <w:rPr>
          <w:color w:val="000000"/>
          <w:sz w:val="22"/>
          <w:szCs w:val="22"/>
        </w:rPr>
        <w:t xml:space="preserve">(ref. </w:t>
      </w:r>
      <w:r w:rsidR="00643CB2" w:rsidRPr="00285D92">
        <w:rPr>
          <w:color w:val="000000"/>
          <w:sz w:val="22"/>
          <w:szCs w:val="22"/>
        </w:rPr>
        <w:t>QE</w:t>
      </w:r>
      <w:r w:rsidR="00F27EC4" w:rsidRPr="00285D92">
        <w:rPr>
          <w:color w:val="000000"/>
          <w:sz w:val="22"/>
          <w:szCs w:val="22"/>
        </w:rPr>
        <w:t>P-6.0</w:t>
      </w:r>
      <w:r w:rsidRPr="00285D92">
        <w:rPr>
          <w:color w:val="000000"/>
          <w:sz w:val="22"/>
          <w:szCs w:val="22"/>
        </w:rPr>
        <w:t>)</w:t>
      </w:r>
      <w:r w:rsidR="00F27EC4" w:rsidRPr="00285D92">
        <w:rPr>
          <w:color w:val="000000"/>
          <w:sz w:val="22"/>
          <w:szCs w:val="22"/>
        </w:rPr>
        <w:t xml:space="preserve"> </w:t>
      </w:r>
    </w:p>
    <w:p w14:paraId="79EDA44B" w14:textId="77777777" w:rsidR="009B0C44" w:rsidRPr="00285D92" w:rsidRDefault="009B0C44" w:rsidP="00DC1396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285D92">
        <w:rPr>
          <w:color w:val="000000"/>
          <w:sz w:val="22"/>
          <w:szCs w:val="22"/>
        </w:rPr>
        <w:t xml:space="preserve">(ref. </w:t>
      </w:r>
      <w:r w:rsidR="00643CB2" w:rsidRPr="00285D92">
        <w:rPr>
          <w:color w:val="000000"/>
          <w:sz w:val="22"/>
          <w:szCs w:val="22"/>
        </w:rPr>
        <w:t>QE</w:t>
      </w:r>
      <w:r w:rsidR="00F27EC4" w:rsidRPr="00285D92">
        <w:rPr>
          <w:color w:val="000000"/>
          <w:sz w:val="22"/>
          <w:szCs w:val="22"/>
        </w:rPr>
        <w:t>P-8.7</w:t>
      </w:r>
      <w:r w:rsidRPr="00285D92">
        <w:rPr>
          <w:color w:val="000000"/>
          <w:sz w:val="22"/>
          <w:szCs w:val="22"/>
        </w:rPr>
        <w:t>)</w:t>
      </w:r>
      <w:r w:rsidR="00F27EC4" w:rsidRPr="00285D92">
        <w:rPr>
          <w:color w:val="000000"/>
          <w:sz w:val="22"/>
          <w:szCs w:val="22"/>
        </w:rPr>
        <w:t xml:space="preserve"> </w:t>
      </w:r>
    </w:p>
    <w:p w14:paraId="2CC4B773" w14:textId="29FD8092" w:rsidR="009B0C44" w:rsidRPr="00285D92" w:rsidRDefault="009B0C44" w:rsidP="00B11A4F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285D92">
        <w:rPr>
          <w:color w:val="000000"/>
          <w:sz w:val="22"/>
          <w:szCs w:val="22"/>
        </w:rPr>
        <w:t xml:space="preserve">(ref. </w:t>
      </w:r>
      <w:r w:rsidR="00F27EC4" w:rsidRPr="00285D92">
        <w:rPr>
          <w:color w:val="000000"/>
          <w:sz w:val="22"/>
          <w:szCs w:val="22"/>
        </w:rPr>
        <w:t>Q</w:t>
      </w:r>
      <w:r w:rsidR="002276A9" w:rsidRPr="00285D92">
        <w:rPr>
          <w:color w:val="000000"/>
          <w:sz w:val="22"/>
          <w:szCs w:val="22"/>
        </w:rPr>
        <w:t>EP</w:t>
      </w:r>
      <w:r w:rsidR="00F27EC4" w:rsidRPr="00285D92">
        <w:rPr>
          <w:color w:val="000000"/>
          <w:sz w:val="22"/>
          <w:szCs w:val="22"/>
        </w:rPr>
        <w:t>-004</w:t>
      </w:r>
      <w:r w:rsidRPr="00285D92">
        <w:rPr>
          <w:color w:val="000000"/>
          <w:sz w:val="22"/>
          <w:szCs w:val="22"/>
        </w:rPr>
        <w:t>)</w:t>
      </w:r>
    </w:p>
    <w:p w14:paraId="11BE8754" w14:textId="77777777" w:rsidR="00F27EC4" w:rsidRPr="00285D92" w:rsidRDefault="00F27EC4" w:rsidP="00B11A4F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285D92">
        <w:rPr>
          <w:color w:val="000000"/>
          <w:sz w:val="22"/>
          <w:szCs w:val="22"/>
        </w:rPr>
        <w:t>Corrective Action Database</w:t>
      </w:r>
    </w:p>
    <w:p w14:paraId="555A5F1B" w14:textId="77777777" w:rsidR="003C63DE" w:rsidRPr="00285D92" w:rsidRDefault="003C63DE" w:rsidP="001A2EC6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76" w:lineRule="auto"/>
        <w:rPr>
          <w:b/>
          <w:color w:val="000000"/>
          <w:sz w:val="22"/>
          <w:szCs w:val="22"/>
        </w:rPr>
      </w:pPr>
      <w:r w:rsidRPr="00285D92">
        <w:rPr>
          <w:b/>
          <w:color w:val="000000"/>
          <w:sz w:val="22"/>
          <w:szCs w:val="22"/>
        </w:rPr>
        <w:t>6. Definitions</w:t>
      </w:r>
    </w:p>
    <w:p w14:paraId="06FF747D" w14:textId="77777777" w:rsidR="00466709" w:rsidRPr="00285D92" w:rsidRDefault="003C63DE" w:rsidP="00BB198C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285D92">
        <w:rPr>
          <w:color w:val="000000"/>
          <w:sz w:val="22"/>
          <w:szCs w:val="22"/>
        </w:rPr>
        <w:tab/>
      </w:r>
      <w:r w:rsidR="00BE44A6" w:rsidRPr="00285D92">
        <w:rPr>
          <w:color w:val="000000"/>
          <w:sz w:val="22"/>
          <w:szCs w:val="22"/>
        </w:rPr>
        <w:t>None</w:t>
      </w:r>
    </w:p>
    <w:p w14:paraId="1124A58C" w14:textId="77777777" w:rsidR="00D52B37" w:rsidRPr="00285D92" w:rsidRDefault="00C37360" w:rsidP="001A2EC6">
      <w:pPr>
        <w:tabs>
          <w:tab w:val="left" w:pos="267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285D92">
        <w:rPr>
          <w:color w:val="000000"/>
          <w:sz w:val="22"/>
          <w:szCs w:val="22"/>
        </w:rPr>
        <w:t xml:space="preserve"> </w:t>
      </w:r>
      <w:r w:rsidRPr="00285D92">
        <w:rPr>
          <w:b/>
          <w:color w:val="000000"/>
          <w:sz w:val="22"/>
          <w:szCs w:val="22"/>
        </w:rPr>
        <w:t>7</w:t>
      </w:r>
      <w:r w:rsidR="00493A6E" w:rsidRPr="00285D92">
        <w:rPr>
          <w:b/>
          <w:color w:val="000000"/>
          <w:sz w:val="22"/>
          <w:szCs w:val="22"/>
        </w:rPr>
        <w:t xml:space="preserve">. </w:t>
      </w:r>
      <w:r w:rsidR="00F27EC4" w:rsidRPr="00285D92">
        <w:rPr>
          <w:b/>
          <w:color w:val="000000"/>
          <w:sz w:val="22"/>
          <w:szCs w:val="22"/>
        </w:rPr>
        <w:t xml:space="preserve">Records </w:t>
      </w:r>
      <w:r w:rsidR="00493A6E" w:rsidRPr="00285D92">
        <w:rPr>
          <w:b/>
          <w:color w:val="000000"/>
          <w:sz w:val="22"/>
          <w:szCs w:val="22"/>
        </w:rPr>
        <w:t>(Ref. QSP-7.5</w:t>
      </w:r>
      <w:r w:rsidR="00D52B37" w:rsidRPr="00285D92">
        <w:rPr>
          <w:b/>
          <w:color w:val="000000"/>
          <w:sz w:val="22"/>
          <w:szCs w:val="22"/>
        </w:rPr>
        <w:t>)</w:t>
      </w:r>
    </w:p>
    <w:p w14:paraId="4F27C71C" w14:textId="7B85AACF" w:rsidR="009A20A2" w:rsidRPr="00285D92" w:rsidRDefault="009A20A2" w:rsidP="00F27EC4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4"/>
        <w:outlineLvl w:val="0"/>
        <w:rPr>
          <w:color w:val="000000"/>
          <w:sz w:val="22"/>
          <w:szCs w:val="22"/>
        </w:rPr>
      </w:pPr>
      <w:r w:rsidRPr="00285D92">
        <w:rPr>
          <w:color w:val="000000"/>
          <w:sz w:val="22"/>
          <w:szCs w:val="22"/>
        </w:rPr>
        <w:t>IQMS Quality Module</w:t>
      </w:r>
    </w:p>
    <w:p w14:paraId="14D776E2" w14:textId="2F75A42B" w:rsidR="00F27EC4" w:rsidRPr="00285D92" w:rsidRDefault="00F27EC4" w:rsidP="00F27EC4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4"/>
        <w:outlineLvl w:val="0"/>
        <w:rPr>
          <w:color w:val="000000"/>
          <w:sz w:val="22"/>
          <w:szCs w:val="22"/>
        </w:rPr>
      </w:pPr>
      <w:r w:rsidRPr="00285D92">
        <w:rPr>
          <w:color w:val="000000"/>
          <w:sz w:val="22"/>
          <w:szCs w:val="22"/>
        </w:rPr>
        <w:t>Corrective Action Database</w:t>
      </w:r>
    </w:p>
    <w:p w14:paraId="28F87486" w14:textId="77777777" w:rsidR="00F27EC4" w:rsidRPr="00285D92" w:rsidRDefault="00F27EC4" w:rsidP="00F27EC4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4"/>
        <w:outlineLvl w:val="0"/>
        <w:rPr>
          <w:color w:val="000000"/>
          <w:sz w:val="22"/>
          <w:szCs w:val="22"/>
        </w:rPr>
      </w:pPr>
      <w:r w:rsidRPr="00285D92">
        <w:rPr>
          <w:color w:val="000000"/>
          <w:sz w:val="22"/>
          <w:szCs w:val="22"/>
        </w:rPr>
        <w:t>Nonconformance Log (ref. Q</w:t>
      </w:r>
      <w:r w:rsidR="00643CB2" w:rsidRPr="00285D92">
        <w:rPr>
          <w:color w:val="000000"/>
          <w:sz w:val="22"/>
          <w:szCs w:val="22"/>
        </w:rPr>
        <w:t>E</w:t>
      </w:r>
      <w:r w:rsidRPr="00285D92">
        <w:rPr>
          <w:color w:val="000000"/>
          <w:sz w:val="22"/>
          <w:szCs w:val="22"/>
        </w:rPr>
        <w:t>P-8.7)</w:t>
      </w:r>
    </w:p>
    <w:p w14:paraId="5E9B09E7" w14:textId="77777777" w:rsidR="0036290B" w:rsidRDefault="0036290B" w:rsidP="00D06DD2">
      <w:pPr>
        <w:rPr>
          <w:sz w:val="12"/>
          <w:szCs w:val="12"/>
        </w:rPr>
      </w:pPr>
    </w:p>
    <w:sectPr w:rsidR="0036290B" w:rsidSect="00BF1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6B8C" w14:textId="77777777" w:rsidR="00243F98" w:rsidRDefault="00243F98">
      <w:r>
        <w:separator/>
      </w:r>
    </w:p>
  </w:endnote>
  <w:endnote w:type="continuationSeparator" w:id="0">
    <w:p w14:paraId="5F630E19" w14:textId="77777777" w:rsidR="00243F98" w:rsidRDefault="0024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320C" w14:textId="77777777" w:rsidR="00593F7B" w:rsidRDefault="00593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A3BD" w14:textId="77777777" w:rsidR="00593F7B" w:rsidRDefault="00593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1872" w14:textId="77777777" w:rsidR="00593F7B" w:rsidRDefault="00593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B8DB" w14:textId="77777777" w:rsidR="00243F98" w:rsidRDefault="00243F98">
      <w:r>
        <w:separator/>
      </w:r>
    </w:p>
  </w:footnote>
  <w:footnote w:type="continuationSeparator" w:id="0">
    <w:p w14:paraId="5A037907" w14:textId="77777777" w:rsidR="00243F98" w:rsidRDefault="0024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D993" w14:textId="77777777" w:rsidR="00593F7B" w:rsidRDefault="00593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4029" w14:textId="162A71A1" w:rsidR="001A5B68" w:rsidRPr="008B70C1" w:rsidRDefault="00643CB2" w:rsidP="001A5B68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593F7B">
      <w:rPr>
        <w:b/>
      </w:rPr>
      <w:t>LLC</w:t>
    </w:r>
    <w:r>
      <w:rPr>
        <w:b/>
      </w:rPr>
      <w:t>.</w:t>
    </w:r>
    <w:r w:rsidR="001A5B68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1A5B68" w:rsidRPr="008B70C1" w14:paraId="041F1AF4" w14:textId="77777777" w:rsidTr="004C24D2">
      <w:trPr>
        <w:trHeight w:val="532"/>
      </w:trPr>
      <w:tc>
        <w:tcPr>
          <w:tcW w:w="6217" w:type="dxa"/>
        </w:tcPr>
        <w:p w14:paraId="63ED40D4" w14:textId="77777777" w:rsidR="001A5B68" w:rsidRPr="008B70C1" w:rsidRDefault="001A5B68" w:rsidP="001A5B68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</w:t>
          </w:r>
          <w:r w:rsidRPr="001A5B68">
            <w:rPr>
              <w:b/>
              <w:sz w:val="24"/>
            </w:rPr>
            <w:t>NONCONFORMITY &amp; CORRECTIVE ACTION</w:t>
          </w:r>
        </w:p>
      </w:tc>
      <w:tc>
        <w:tcPr>
          <w:tcW w:w="4400" w:type="dxa"/>
        </w:tcPr>
        <w:p w14:paraId="1FDD005A" w14:textId="77777777" w:rsidR="001A5B68" w:rsidRPr="008B70C1" w:rsidRDefault="001A5B68" w:rsidP="001A5B68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 w:rsidR="00643CB2">
            <w:rPr>
              <w:b/>
              <w:sz w:val="28"/>
            </w:rPr>
            <w:t>QE</w:t>
          </w:r>
          <w:r>
            <w:rPr>
              <w:b/>
              <w:sz w:val="28"/>
            </w:rPr>
            <w:t>P-10.2</w:t>
          </w:r>
        </w:p>
        <w:p w14:paraId="7C632F6B" w14:textId="77777777" w:rsidR="001A5B68" w:rsidRPr="008B70C1" w:rsidRDefault="001A5B68" w:rsidP="001A5B68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1A5B68" w:rsidRPr="008B70C1" w14:paraId="0EE7ECEF" w14:textId="77777777" w:rsidTr="004C24D2">
      <w:trPr>
        <w:trHeight w:val="257"/>
      </w:trPr>
      <w:tc>
        <w:tcPr>
          <w:tcW w:w="6217" w:type="dxa"/>
        </w:tcPr>
        <w:p w14:paraId="3859B884" w14:textId="77777777" w:rsidR="001A5B68" w:rsidRPr="008B70C1" w:rsidRDefault="001A5B68" w:rsidP="001A5B68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C47140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C47140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65086A6E" w14:textId="088ED5DF" w:rsidR="001A5B68" w:rsidRPr="008B70C1" w:rsidRDefault="001A5B68" w:rsidP="00D740D0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</w:t>
          </w:r>
          <w:r w:rsidR="00712E1A">
            <w:rPr>
              <w:b/>
            </w:rPr>
            <w:t>2</w:t>
          </w:r>
          <w:r w:rsidRPr="00C23271">
            <w:rPr>
              <w:b/>
            </w:rPr>
            <w:t xml:space="preserve">     </w:t>
          </w:r>
          <w:r>
            <w:rPr>
              <w:b/>
            </w:rPr>
            <w:t xml:space="preserve">               </w:t>
          </w:r>
        </w:p>
      </w:tc>
    </w:tr>
  </w:tbl>
  <w:p w14:paraId="727940AC" w14:textId="77777777" w:rsidR="001A5B68" w:rsidRDefault="001A5B68" w:rsidP="001A5B68">
    <w:pPr>
      <w:pStyle w:val="Header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643CB2">
      <w:rPr>
        <w:sz w:val="12"/>
      </w:rPr>
      <w:t>M</w:t>
    </w:r>
    <w:r w:rsidR="00960FD0">
      <w:rPr>
        <w:sz w:val="12"/>
      </w:rPr>
      <w:t>etro Plastics Technologies, Inc</w:t>
    </w:r>
    <w:r w:rsidR="00243B0B">
      <w:rPr>
        <w:sz w:val="12"/>
      </w:rPr>
      <w:t>.</w:t>
    </w:r>
    <w:r w:rsidRPr="008B70C1">
      <w:rPr>
        <w:sz w:val="12"/>
      </w:rPr>
      <w:t xml:space="preserve">  BY ACCEPTING THIS </w:t>
    </w:r>
    <w:proofErr w:type="gramStart"/>
    <w:r w:rsidRPr="008B70C1">
      <w:rPr>
        <w:sz w:val="12"/>
      </w:rPr>
      <w:t>INFORMATION</w:t>
    </w:r>
    <w:proofErr w:type="gramEnd"/>
    <w:r w:rsidRPr="008B70C1">
      <w:rPr>
        <w:sz w:val="12"/>
      </w:rPr>
      <w:t xml:space="preserve"> THE BORROWER AGREES THAT IT WILL NOT BE USED FOR ANY PURPOSE OTHER THAN THAT FOR WHICH IT IS LOANED.</w:t>
    </w:r>
  </w:p>
  <w:p w14:paraId="30B2FB00" w14:textId="77777777" w:rsidR="001A5B68" w:rsidRDefault="001A5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15FC" w14:textId="2FA95934" w:rsidR="001A5B68" w:rsidRPr="008B70C1" w:rsidRDefault="00643CB2" w:rsidP="001A5B68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227B63">
      <w:rPr>
        <w:b/>
      </w:rPr>
      <w:t>LLC.</w:t>
    </w:r>
    <w:r w:rsidR="001A5B68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1A5B68" w:rsidRPr="008B70C1" w14:paraId="52354422" w14:textId="77777777" w:rsidTr="004C24D2">
      <w:trPr>
        <w:trHeight w:val="532"/>
      </w:trPr>
      <w:tc>
        <w:tcPr>
          <w:tcW w:w="6217" w:type="dxa"/>
        </w:tcPr>
        <w:p w14:paraId="55BB674C" w14:textId="77777777" w:rsidR="001A5B68" w:rsidRPr="008B70C1" w:rsidRDefault="001A5B68" w:rsidP="001A5B68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 w:rsidRPr="008B70C1">
            <w:rPr>
              <w:b/>
              <w:sz w:val="16"/>
            </w:rPr>
            <w:t xml:space="preserve">  </w:t>
          </w:r>
          <w:r>
            <w:rPr>
              <w:b/>
              <w:sz w:val="16"/>
            </w:rPr>
            <w:t xml:space="preserve">  </w:t>
          </w:r>
          <w:r w:rsidRPr="001A5B68">
            <w:rPr>
              <w:b/>
              <w:sz w:val="24"/>
            </w:rPr>
            <w:t>NONCONFORMITY &amp; CORRECTIVE ACTION</w:t>
          </w:r>
        </w:p>
      </w:tc>
      <w:tc>
        <w:tcPr>
          <w:tcW w:w="4400" w:type="dxa"/>
        </w:tcPr>
        <w:p w14:paraId="1176A71A" w14:textId="77777777" w:rsidR="001A5B68" w:rsidRPr="008B70C1" w:rsidRDefault="001A5B68" w:rsidP="001A5B68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643CB2">
            <w:rPr>
              <w:b/>
              <w:sz w:val="28"/>
            </w:rPr>
            <w:t>E</w:t>
          </w:r>
          <w:r>
            <w:rPr>
              <w:b/>
              <w:sz w:val="28"/>
            </w:rPr>
            <w:t>P-10.2</w:t>
          </w:r>
        </w:p>
        <w:p w14:paraId="0FF557C8" w14:textId="77777777" w:rsidR="001A5B68" w:rsidRPr="008B70C1" w:rsidRDefault="001A5B68" w:rsidP="001A5B68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1A5B68" w:rsidRPr="008B70C1" w14:paraId="45E3A727" w14:textId="77777777" w:rsidTr="004C24D2">
      <w:trPr>
        <w:trHeight w:val="257"/>
      </w:trPr>
      <w:tc>
        <w:tcPr>
          <w:tcW w:w="6217" w:type="dxa"/>
        </w:tcPr>
        <w:p w14:paraId="6083BA32" w14:textId="77777777" w:rsidR="001A5B68" w:rsidRPr="008B70C1" w:rsidRDefault="001A5B68" w:rsidP="001A5B68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C47140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C47140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388AF4F2" w14:textId="4A070A22" w:rsidR="001A5B68" w:rsidRPr="008B70C1" w:rsidRDefault="001A5B68" w:rsidP="00D740D0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</w:t>
          </w:r>
          <w:r w:rsidR="00712E1A">
            <w:rPr>
              <w:b/>
            </w:rPr>
            <w:t>2</w:t>
          </w:r>
          <w:r w:rsidRPr="00C23271">
            <w:rPr>
              <w:b/>
            </w:rPr>
            <w:t xml:space="preserve">     </w:t>
          </w:r>
          <w:r>
            <w:rPr>
              <w:b/>
            </w:rPr>
            <w:t xml:space="preserve">               </w:t>
          </w:r>
        </w:p>
      </w:tc>
    </w:tr>
  </w:tbl>
  <w:p w14:paraId="499068B2" w14:textId="77777777" w:rsidR="00807590" w:rsidRDefault="001A5B68" w:rsidP="00F6462B">
    <w:pPr>
      <w:pStyle w:val="Header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643CB2">
      <w:rPr>
        <w:sz w:val="12"/>
      </w:rPr>
      <w:t>Metro Plastics Technologies, Inc.</w:t>
    </w:r>
    <w:r w:rsidRPr="008B70C1">
      <w:rPr>
        <w:sz w:val="12"/>
      </w:rPr>
      <w:t xml:space="preserve">  BY ACCEPTING THIS </w:t>
    </w:r>
    <w:proofErr w:type="gramStart"/>
    <w:r w:rsidRPr="008B70C1">
      <w:rPr>
        <w:sz w:val="12"/>
      </w:rPr>
      <w:t>INFORMATION</w:t>
    </w:r>
    <w:proofErr w:type="gramEnd"/>
    <w:r w:rsidRPr="008B70C1">
      <w:rPr>
        <w:sz w:val="12"/>
      </w:rPr>
      <w:t xml:space="preserve"> THE BORROWER AGREES THAT IT WILL NOT BE USED FOR ANY PURPOSE OTHER THAN THAT FOR WHICH IT IS LOANED.</w:t>
    </w:r>
  </w:p>
  <w:p w14:paraId="440D5339" w14:textId="77777777" w:rsidR="001A5B68" w:rsidRDefault="001A5B68" w:rsidP="00F64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D0C7D87"/>
    <w:multiLevelType w:val="hybridMultilevel"/>
    <w:tmpl w:val="EDB61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595A5F"/>
    <w:multiLevelType w:val="hybridMultilevel"/>
    <w:tmpl w:val="B602FB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9B31D1"/>
    <w:multiLevelType w:val="hybridMultilevel"/>
    <w:tmpl w:val="9BC6780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F42072"/>
    <w:multiLevelType w:val="hybridMultilevel"/>
    <w:tmpl w:val="D4509C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1C90EF0"/>
    <w:multiLevelType w:val="hybridMultilevel"/>
    <w:tmpl w:val="D4509C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3080F0A"/>
    <w:multiLevelType w:val="hybridMultilevel"/>
    <w:tmpl w:val="2C1EEBB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54FE58CF"/>
    <w:multiLevelType w:val="hybridMultilevel"/>
    <w:tmpl w:val="D1D452C4"/>
    <w:lvl w:ilvl="0" w:tplc="F91E78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FE43BD"/>
    <w:multiLevelType w:val="hybridMultilevel"/>
    <w:tmpl w:val="76728508"/>
    <w:lvl w:ilvl="0" w:tplc="04090017">
      <w:start w:val="1"/>
      <w:numFmt w:val="lowerLetter"/>
      <w:lvlText w:val="%1)"/>
      <w:lvlJc w:val="left"/>
      <w:pPr>
        <w:ind w:left="2700" w:hanging="360"/>
      </w:pPr>
    </w:lvl>
    <w:lvl w:ilvl="1" w:tplc="04090011">
      <w:start w:val="1"/>
      <w:numFmt w:val="decimal"/>
      <w:lvlText w:val="%2)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61E736C7"/>
    <w:multiLevelType w:val="hybridMultilevel"/>
    <w:tmpl w:val="B602FB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9A11067"/>
    <w:multiLevelType w:val="hybridMultilevel"/>
    <w:tmpl w:val="F246E94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8333D"/>
    <w:multiLevelType w:val="hybridMultilevel"/>
    <w:tmpl w:val="B94641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D950BA3"/>
    <w:multiLevelType w:val="hybridMultilevel"/>
    <w:tmpl w:val="47DE6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270399">
    <w:abstractNumId w:val="12"/>
  </w:num>
  <w:num w:numId="2" w16cid:durableId="1029338730">
    <w:abstractNumId w:val="7"/>
  </w:num>
  <w:num w:numId="3" w16cid:durableId="1679843574">
    <w:abstractNumId w:val="13"/>
  </w:num>
  <w:num w:numId="4" w16cid:durableId="361445213">
    <w:abstractNumId w:val="8"/>
  </w:num>
  <w:num w:numId="5" w16cid:durableId="878709741">
    <w:abstractNumId w:val="14"/>
  </w:num>
  <w:num w:numId="6" w16cid:durableId="1674647061">
    <w:abstractNumId w:val="4"/>
  </w:num>
  <w:num w:numId="7" w16cid:durableId="689183077">
    <w:abstractNumId w:val="5"/>
  </w:num>
  <w:num w:numId="8" w16cid:durableId="1144590402">
    <w:abstractNumId w:val="6"/>
  </w:num>
  <w:num w:numId="9" w16cid:durableId="1259025371">
    <w:abstractNumId w:val="2"/>
  </w:num>
  <w:num w:numId="10" w16cid:durableId="2073428185">
    <w:abstractNumId w:val="3"/>
  </w:num>
  <w:num w:numId="11" w16cid:durableId="662467526">
    <w:abstractNumId w:val="9"/>
  </w:num>
  <w:num w:numId="12" w16cid:durableId="64229378">
    <w:abstractNumId w:val="10"/>
  </w:num>
  <w:num w:numId="13" w16cid:durableId="168782737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41"/>
    <w:rsid w:val="00000627"/>
    <w:rsid w:val="00007E8A"/>
    <w:rsid w:val="000111FB"/>
    <w:rsid w:val="00012B4C"/>
    <w:rsid w:val="00025E2A"/>
    <w:rsid w:val="00026E6F"/>
    <w:rsid w:val="00032DC4"/>
    <w:rsid w:val="000351A6"/>
    <w:rsid w:val="000403A5"/>
    <w:rsid w:val="00044C55"/>
    <w:rsid w:val="00054B11"/>
    <w:rsid w:val="00054C7E"/>
    <w:rsid w:val="00070678"/>
    <w:rsid w:val="000844D2"/>
    <w:rsid w:val="0008574E"/>
    <w:rsid w:val="0009180E"/>
    <w:rsid w:val="0009796D"/>
    <w:rsid w:val="00097A12"/>
    <w:rsid w:val="000A333F"/>
    <w:rsid w:val="000C012C"/>
    <w:rsid w:val="000C06BB"/>
    <w:rsid w:val="000C37C0"/>
    <w:rsid w:val="000E0DC2"/>
    <w:rsid w:val="000F1841"/>
    <w:rsid w:val="000F75EE"/>
    <w:rsid w:val="0012623B"/>
    <w:rsid w:val="001322CE"/>
    <w:rsid w:val="001332F1"/>
    <w:rsid w:val="00136AF3"/>
    <w:rsid w:val="001411FE"/>
    <w:rsid w:val="00141872"/>
    <w:rsid w:val="001418C0"/>
    <w:rsid w:val="00145E05"/>
    <w:rsid w:val="001523FE"/>
    <w:rsid w:val="00160CEF"/>
    <w:rsid w:val="0017347D"/>
    <w:rsid w:val="0017476A"/>
    <w:rsid w:val="001754DF"/>
    <w:rsid w:val="001760A4"/>
    <w:rsid w:val="00186E48"/>
    <w:rsid w:val="00195159"/>
    <w:rsid w:val="0019535A"/>
    <w:rsid w:val="00195CD0"/>
    <w:rsid w:val="001A2EC6"/>
    <w:rsid w:val="001A5B68"/>
    <w:rsid w:val="001B571E"/>
    <w:rsid w:val="001C42AB"/>
    <w:rsid w:val="001D1408"/>
    <w:rsid w:val="001E1E16"/>
    <w:rsid w:val="001F171D"/>
    <w:rsid w:val="001F184F"/>
    <w:rsid w:val="0020044F"/>
    <w:rsid w:val="002048A9"/>
    <w:rsid w:val="00213EE9"/>
    <w:rsid w:val="00214AD2"/>
    <w:rsid w:val="0022394B"/>
    <w:rsid w:val="002276A9"/>
    <w:rsid w:val="00227B63"/>
    <w:rsid w:val="00233D94"/>
    <w:rsid w:val="002340B7"/>
    <w:rsid w:val="00243B0B"/>
    <w:rsid w:val="00243F98"/>
    <w:rsid w:val="00246305"/>
    <w:rsid w:val="00246B5C"/>
    <w:rsid w:val="002545CA"/>
    <w:rsid w:val="002815A3"/>
    <w:rsid w:val="0028269B"/>
    <w:rsid w:val="00283CF8"/>
    <w:rsid w:val="00285D92"/>
    <w:rsid w:val="002915BE"/>
    <w:rsid w:val="002A426E"/>
    <w:rsid w:val="002A78AD"/>
    <w:rsid w:val="002B4C86"/>
    <w:rsid w:val="002B6444"/>
    <w:rsid w:val="002C0598"/>
    <w:rsid w:val="002C5413"/>
    <w:rsid w:val="002C5843"/>
    <w:rsid w:val="002D45F1"/>
    <w:rsid w:val="002E2631"/>
    <w:rsid w:val="002E27ED"/>
    <w:rsid w:val="002E6029"/>
    <w:rsid w:val="002E7D56"/>
    <w:rsid w:val="0030100D"/>
    <w:rsid w:val="003021B3"/>
    <w:rsid w:val="003056DA"/>
    <w:rsid w:val="003061E3"/>
    <w:rsid w:val="00312145"/>
    <w:rsid w:val="003130FD"/>
    <w:rsid w:val="003147F8"/>
    <w:rsid w:val="003200BA"/>
    <w:rsid w:val="00330E65"/>
    <w:rsid w:val="00331D31"/>
    <w:rsid w:val="003415A3"/>
    <w:rsid w:val="003457B0"/>
    <w:rsid w:val="003501A1"/>
    <w:rsid w:val="0035077F"/>
    <w:rsid w:val="00351328"/>
    <w:rsid w:val="00353699"/>
    <w:rsid w:val="00357EAC"/>
    <w:rsid w:val="0036290B"/>
    <w:rsid w:val="003678C1"/>
    <w:rsid w:val="00374D71"/>
    <w:rsid w:val="00376088"/>
    <w:rsid w:val="00390993"/>
    <w:rsid w:val="00390C81"/>
    <w:rsid w:val="003918DC"/>
    <w:rsid w:val="00394532"/>
    <w:rsid w:val="00394914"/>
    <w:rsid w:val="003A2911"/>
    <w:rsid w:val="003A7B9C"/>
    <w:rsid w:val="003B350A"/>
    <w:rsid w:val="003B6CF9"/>
    <w:rsid w:val="003C167C"/>
    <w:rsid w:val="003C185D"/>
    <w:rsid w:val="003C23AF"/>
    <w:rsid w:val="003C63DE"/>
    <w:rsid w:val="003D3458"/>
    <w:rsid w:val="003D79F9"/>
    <w:rsid w:val="003E450E"/>
    <w:rsid w:val="003F55CE"/>
    <w:rsid w:val="004211C1"/>
    <w:rsid w:val="0042250B"/>
    <w:rsid w:val="00423436"/>
    <w:rsid w:val="00435059"/>
    <w:rsid w:val="00441BB2"/>
    <w:rsid w:val="00442ACA"/>
    <w:rsid w:val="0046553A"/>
    <w:rsid w:val="00466709"/>
    <w:rsid w:val="0048649F"/>
    <w:rsid w:val="00487D36"/>
    <w:rsid w:val="0049191B"/>
    <w:rsid w:val="00493A6E"/>
    <w:rsid w:val="004A1F78"/>
    <w:rsid w:val="004A2314"/>
    <w:rsid w:val="004C3125"/>
    <w:rsid w:val="004C4789"/>
    <w:rsid w:val="004D1801"/>
    <w:rsid w:val="004E03F6"/>
    <w:rsid w:val="004E2998"/>
    <w:rsid w:val="004E3FAC"/>
    <w:rsid w:val="004E6D10"/>
    <w:rsid w:val="004E7459"/>
    <w:rsid w:val="004F4A08"/>
    <w:rsid w:val="005008AC"/>
    <w:rsid w:val="005013D5"/>
    <w:rsid w:val="00504624"/>
    <w:rsid w:val="00512E27"/>
    <w:rsid w:val="00522FD5"/>
    <w:rsid w:val="00525EB9"/>
    <w:rsid w:val="00527E16"/>
    <w:rsid w:val="00532B18"/>
    <w:rsid w:val="0053350E"/>
    <w:rsid w:val="00542B09"/>
    <w:rsid w:val="00552D2D"/>
    <w:rsid w:val="0055500C"/>
    <w:rsid w:val="00565C8D"/>
    <w:rsid w:val="005812E8"/>
    <w:rsid w:val="0059028A"/>
    <w:rsid w:val="00590FC6"/>
    <w:rsid w:val="00593F7B"/>
    <w:rsid w:val="0059666A"/>
    <w:rsid w:val="005A0790"/>
    <w:rsid w:val="005A2858"/>
    <w:rsid w:val="005C4884"/>
    <w:rsid w:val="005C683A"/>
    <w:rsid w:val="005D1D3B"/>
    <w:rsid w:val="005D1FBE"/>
    <w:rsid w:val="005E5638"/>
    <w:rsid w:val="005E68A7"/>
    <w:rsid w:val="005E70F3"/>
    <w:rsid w:val="005F1972"/>
    <w:rsid w:val="006065C5"/>
    <w:rsid w:val="0060777B"/>
    <w:rsid w:val="00612FA3"/>
    <w:rsid w:val="00632D68"/>
    <w:rsid w:val="00643CB2"/>
    <w:rsid w:val="0064729A"/>
    <w:rsid w:val="00647AE3"/>
    <w:rsid w:val="00652EAF"/>
    <w:rsid w:val="00654D11"/>
    <w:rsid w:val="00661042"/>
    <w:rsid w:val="00666E81"/>
    <w:rsid w:val="00670620"/>
    <w:rsid w:val="00673986"/>
    <w:rsid w:val="00676A6B"/>
    <w:rsid w:val="00677DB0"/>
    <w:rsid w:val="006849F1"/>
    <w:rsid w:val="00696117"/>
    <w:rsid w:val="00696C78"/>
    <w:rsid w:val="006A0FB3"/>
    <w:rsid w:val="006A2818"/>
    <w:rsid w:val="006A2DE0"/>
    <w:rsid w:val="006A4E45"/>
    <w:rsid w:val="006B1FF8"/>
    <w:rsid w:val="006D1B8E"/>
    <w:rsid w:val="006D7E5C"/>
    <w:rsid w:val="006E1BCF"/>
    <w:rsid w:val="006F5D1E"/>
    <w:rsid w:val="0070353F"/>
    <w:rsid w:val="00706B9A"/>
    <w:rsid w:val="00712062"/>
    <w:rsid w:val="00712E1A"/>
    <w:rsid w:val="007210BA"/>
    <w:rsid w:val="007233FA"/>
    <w:rsid w:val="00730028"/>
    <w:rsid w:val="007313E5"/>
    <w:rsid w:val="007426C9"/>
    <w:rsid w:val="00750125"/>
    <w:rsid w:val="007559C9"/>
    <w:rsid w:val="00760D4F"/>
    <w:rsid w:val="007610DA"/>
    <w:rsid w:val="00784CF3"/>
    <w:rsid w:val="0079577A"/>
    <w:rsid w:val="007B07CA"/>
    <w:rsid w:val="007B1DDF"/>
    <w:rsid w:val="007B516D"/>
    <w:rsid w:val="007C7A83"/>
    <w:rsid w:val="007D6445"/>
    <w:rsid w:val="007D72B8"/>
    <w:rsid w:val="007E4B82"/>
    <w:rsid w:val="007E7025"/>
    <w:rsid w:val="007E798A"/>
    <w:rsid w:val="007F18F3"/>
    <w:rsid w:val="007F1E51"/>
    <w:rsid w:val="007F6706"/>
    <w:rsid w:val="008009F4"/>
    <w:rsid w:val="00804616"/>
    <w:rsid w:val="00807590"/>
    <w:rsid w:val="008110C2"/>
    <w:rsid w:val="00815594"/>
    <w:rsid w:val="00830069"/>
    <w:rsid w:val="00830D9E"/>
    <w:rsid w:val="00833230"/>
    <w:rsid w:val="00836F6E"/>
    <w:rsid w:val="00843024"/>
    <w:rsid w:val="00847D6D"/>
    <w:rsid w:val="0085163D"/>
    <w:rsid w:val="00862466"/>
    <w:rsid w:val="00870A1B"/>
    <w:rsid w:val="0088488C"/>
    <w:rsid w:val="00885822"/>
    <w:rsid w:val="00896FAC"/>
    <w:rsid w:val="00897959"/>
    <w:rsid w:val="008A28E7"/>
    <w:rsid w:val="008A2F45"/>
    <w:rsid w:val="008A5526"/>
    <w:rsid w:val="008B14C1"/>
    <w:rsid w:val="008C1771"/>
    <w:rsid w:val="008C6CE7"/>
    <w:rsid w:val="008D1F0E"/>
    <w:rsid w:val="008D5321"/>
    <w:rsid w:val="008E24FF"/>
    <w:rsid w:val="008E2C37"/>
    <w:rsid w:val="00906D30"/>
    <w:rsid w:val="00912E0F"/>
    <w:rsid w:val="0091324E"/>
    <w:rsid w:val="00914A23"/>
    <w:rsid w:val="009220E1"/>
    <w:rsid w:val="00923FA8"/>
    <w:rsid w:val="0092790A"/>
    <w:rsid w:val="00927BF7"/>
    <w:rsid w:val="00933FBA"/>
    <w:rsid w:val="00934AA7"/>
    <w:rsid w:val="00946FC4"/>
    <w:rsid w:val="00953D2D"/>
    <w:rsid w:val="00960FD0"/>
    <w:rsid w:val="009762E3"/>
    <w:rsid w:val="00981934"/>
    <w:rsid w:val="00986D79"/>
    <w:rsid w:val="009911D5"/>
    <w:rsid w:val="009A01A3"/>
    <w:rsid w:val="009A20A2"/>
    <w:rsid w:val="009B0C44"/>
    <w:rsid w:val="009C0AB0"/>
    <w:rsid w:val="009C473F"/>
    <w:rsid w:val="009D436F"/>
    <w:rsid w:val="009D467A"/>
    <w:rsid w:val="009D70DE"/>
    <w:rsid w:val="009E3145"/>
    <w:rsid w:val="009E3D6E"/>
    <w:rsid w:val="009F28EF"/>
    <w:rsid w:val="009F71B5"/>
    <w:rsid w:val="00A05B70"/>
    <w:rsid w:val="00A0649D"/>
    <w:rsid w:val="00A06D86"/>
    <w:rsid w:val="00A07ADB"/>
    <w:rsid w:val="00A12E4A"/>
    <w:rsid w:val="00A133CF"/>
    <w:rsid w:val="00A2758E"/>
    <w:rsid w:val="00A3173D"/>
    <w:rsid w:val="00A431DC"/>
    <w:rsid w:val="00A555AA"/>
    <w:rsid w:val="00A57833"/>
    <w:rsid w:val="00A67DFE"/>
    <w:rsid w:val="00A7414C"/>
    <w:rsid w:val="00A74245"/>
    <w:rsid w:val="00A76387"/>
    <w:rsid w:val="00A92FED"/>
    <w:rsid w:val="00AA3467"/>
    <w:rsid w:val="00AB17CA"/>
    <w:rsid w:val="00AB7AF1"/>
    <w:rsid w:val="00AC400F"/>
    <w:rsid w:val="00AC4F44"/>
    <w:rsid w:val="00AE5E82"/>
    <w:rsid w:val="00AF16C0"/>
    <w:rsid w:val="00AF2A98"/>
    <w:rsid w:val="00B1147D"/>
    <w:rsid w:val="00B114D3"/>
    <w:rsid w:val="00B1730A"/>
    <w:rsid w:val="00B2625C"/>
    <w:rsid w:val="00B358D5"/>
    <w:rsid w:val="00B40F15"/>
    <w:rsid w:val="00B4233F"/>
    <w:rsid w:val="00B53CB7"/>
    <w:rsid w:val="00B61F50"/>
    <w:rsid w:val="00B62BF0"/>
    <w:rsid w:val="00B77FC6"/>
    <w:rsid w:val="00B933DC"/>
    <w:rsid w:val="00BA0936"/>
    <w:rsid w:val="00BA4567"/>
    <w:rsid w:val="00BA45B0"/>
    <w:rsid w:val="00BA54DD"/>
    <w:rsid w:val="00BB198C"/>
    <w:rsid w:val="00BC1529"/>
    <w:rsid w:val="00BC5089"/>
    <w:rsid w:val="00BC7640"/>
    <w:rsid w:val="00BE0C1D"/>
    <w:rsid w:val="00BE44A6"/>
    <w:rsid w:val="00BF1ABC"/>
    <w:rsid w:val="00C06ED9"/>
    <w:rsid w:val="00C146FA"/>
    <w:rsid w:val="00C23244"/>
    <w:rsid w:val="00C37360"/>
    <w:rsid w:val="00C40AFF"/>
    <w:rsid w:val="00C47140"/>
    <w:rsid w:val="00C6746F"/>
    <w:rsid w:val="00C823DD"/>
    <w:rsid w:val="00C850DA"/>
    <w:rsid w:val="00C85D19"/>
    <w:rsid w:val="00CA124E"/>
    <w:rsid w:val="00CA1DBB"/>
    <w:rsid w:val="00CA3D43"/>
    <w:rsid w:val="00CB1387"/>
    <w:rsid w:val="00CB7DCF"/>
    <w:rsid w:val="00CC162C"/>
    <w:rsid w:val="00CC2AEF"/>
    <w:rsid w:val="00CC4506"/>
    <w:rsid w:val="00CD2CCF"/>
    <w:rsid w:val="00CD4604"/>
    <w:rsid w:val="00CD6903"/>
    <w:rsid w:val="00CE157F"/>
    <w:rsid w:val="00CF31CE"/>
    <w:rsid w:val="00CF42AE"/>
    <w:rsid w:val="00D06DCD"/>
    <w:rsid w:val="00D06DD2"/>
    <w:rsid w:val="00D25E13"/>
    <w:rsid w:val="00D266EE"/>
    <w:rsid w:val="00D26B1B"/>
    <w:rsid w:val="00D43CCB"/>
    <w:rsid w:val="00D4450D"/>
    <w:rsid w:val="00D44D0C"/>
    <w:rsid w:val="00D47195"/>
    <w:rsid w:val="00D51B59"/>
    <w:rsid w:val="00D52B37"/>
    <w:rsid w:val="00D63495"/>
    <w:rsid w:val="00D64ADB"/>
    <w:rsid w:val="00D679A8"/>
    <w:rsid w:val="00D71A2D"/>
    <w:rsid w:val="00D71A80"/>
    <w:rsid w:val="00D73BBF"/>
    <w:rsid w:val="00D740D0"/>
    <w:rsid w:val="00D77C76"/>
    <w:rsid w:val="00D8275E"/>
    <w:rsid w:val="00D94386"/>
    <w:rsid w:val="00D968E8"/>
    <w:rsid w:val="00DA2CA9"/>
    <w:rsid w:val="00DA2FEF"/>
    <w:rsid w:val="00DB4B4C"/>
    <w:rsid w:val="00DD5E90"/>
    <w:rsid w:val="00DE54D6"/>
    <w:rsid w:val="00DE740B"/>
    <w:rsid w:val="00DF6EB8"/>
    <w:rsid w:val="00DF71D6"/>
    <w:rsid w:val="00E00F73"/>
    <w:rsid w:val="00E01DD7"/>
    <w:rsid w:val="00E048D0"/>
    <w:rsid w:val="00E0581F"/>
    <w:rsid w:val="00E32B11"/>
    <w:rsid w:val="00E35A87"/>
    <w:rsid w:val="00E439E9"/>
    <w:rsid w:val="00E5019F"/>
    <w:rsid w:val="00E5306A"/>
    <w:rsid w:val="00E64550"/>
    <w:rsid w:val="00E67D0A"/>
    <w:rsid w:val="00E77302"/>
    <w:rsid w:val="00E81E84"/>
    <w:rsid w:val="00E86620"/>
    <w:rsid w:val="00E90C6A"/>
    <w:rsid w:val="00EC601A"/>
    <w:rsid w:val="00ED2E93"/>
    <w:rsid w:val="00EE03EB"/>
    <w:rsid w:val="00EE322B"/>
    <w:rsid w:val="00EF1288"/>
    <w:rsid w:val="00EF179D"/>
    <w:rsid w:val="00EF1EFF"/>
    <w:rsid w:val="00F04932"/>
    <w:rsid w:val="00F1272E"/>
    <w:rsid w:val="00F131C2"/>
    <w:rsid w:val="00F15892"/>
    <w:rsid w:val="00F27EC4"/>
    <w:rsid w:val="00F3049F"/>
    <w:rsid w:val="00F34548"/>
    <w:rsid w:val="00F51CF2"/>
    <w:rsid w:val="00F536F2"/>
    <w:rsid w:val="00F54988"/>
    <w:rsid w:val="00F55F7A"/>
    <w:rsid w:val="00F562D6"/>
    <w:rsid w:val="00F61F21"/>
    <w:rsid w:val="00F6462B"/>
    <w:rsid w:val="00F81A96"/>
    <w:rsid w:val="00F86B90"/>
    <w:rsid w:val="00F8732D"/>
    <w:rsid w:val="00F917B4"/>
    <w:rsid w:val="00F918E2"/>
    <w:rsid w:val="00F91F73"/>
    <w:rsid w:val="00FB1A07"/>
    <w:rsid w:val="00FB209C"/>
    <w:rsid w:val="00FC0457"/>
    <w:rsid w:val="00FC1A3B"/>
    <w:rsid w:val="00FC5E99"/>
    <w:rsid w:val="00FC7B7C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53FC4D43"/>
  <w15:chartTrackingRefBased/>
  <w15:docId w15:val="{C36E3EC5-F99C-412C-8B4B-7BF7AF81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rsid w:val="00AB1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Christina Stenske</cp:lastModifiedBy>
  <cp:revision>9</cp:revision>
  <cp:lastPrinted>2021-07-11T15:45:00Z</cp:lastPrinted>
  <dcterms:created xsi:type="dcterms:W3CDTF">2020-03-30T20:24:00Z</dcterms:created>
  <dcterms:modified xsi:type="dcterms:W3CDTF">2025-02-21T14:55:00Z</dcterms:modified>
</cp:coreProperties>
</file>